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87680" w14:textId="7987A987" w:rsidR="00914F92" w:rsidRPr="00914F92" w:rsidRDefault="00914F92" w:rsidP="00C200CE">
      <w:pPr>
        <w:spacing w:after="0" w:line="240" w:lineRule="auto"/>
        <w:ind w:left="2832" w:firstLine="708"/>
        <w:jc w:val="both"/>
        <w:rPr>
          <w:bCs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 w:rsidRPr="00914F92">
        <w:rPr>
          <w:bCs/>
          <w:lang w:val="fr-FR"/>
        </w:rPr>
        <w:t>Namur, février 2021</w:t>
      </w:r>
    </w:p>
    <w:p w14:paraId="4DA0809C" w14:textId="77777777" w:rsidR="00914F92" w:rsidRDefault="00914F92" w:rsidP="00C200CE">
      <w:pPr>
        <w:spacing w:after="0" w:line="240" w:lineRule="auto"/>
        <w:ind w:left="2832" w:firstLine="708"/>
        <w:jc w:val="both"/>
        <w:rPr>
          <w:b/>
          <w:bCs/>
          <w:lang w:val="fr-FR"/>
        </w:rPr>
      </w:pPr>
    </w:p>
    <w:p w14:paraId="78ABA461" w14:textId="45078C5C" w:rsidR="001E7752" w:rsidRPr="00384B57" w:rsidRDefault="001E7752" w:rsidP="00C200CE">
      <w:pPr>
        <w:spacing w:after="0" w:line="240" w:lineRule="auto"/>
        <w:ind w:left="2832" w:firstLine="708"/>
        <w:jc w:val="both"/>
        <w:rPr>
          <w:b/>
          <w:bCs/>
          <w:lang w:val="fr-FR"/>
        </w:rPr>
      </w:pPr>
      <w:r w:rsidRPr="00384B57">
        <w:rPr>
          <w:b/>
          <w:bCs/>
          <w:lang w:val="fr-FR"/>
        </w:rPr>
        <w:t xml:space="preserve">COMMUNIQUE DE PRESSE </w:t>
      </w:r>
    </w:p>
    <w:p w14:paraId="6BCE230F" w14:textId="77777777" w:rsidR="001E7752" w:rsidRDefault="001E7752" w:rsidP="001E7752">
      <w:pPr>
        <w:spacing w:after="0" w:line="240" w:lineRule="auto"/>
        <w:jc w:val="both"/>
        <w:rPr>
          <w:lang w:val="fr-FR"/>
        </w:rPr>
      </w:pPr>
    </w:p>
    <w:p w14:paraId="5E23E02C" w14:textId="1489C92D" w:rsidR="00A34E25" w:rsidRPr="00943B90" w:rsidRDefault="00A34E25" w:rsidP="00943B90">
      <w:pPr>
        <w:spacing w:after="0" w:line="240" w:lineRule="auto"/>
        <w:jc w:val="center"/>
        <w:rPr>
          <w:rFonts w:ascii="DK Lemon Yellow Sun" w:hAnsi="DK Lemon Yellow Sun"/>
          <w:b/>
          <w:bCs/>
          <w:color w:val="E61853"/>
          <w:sz w:val="40"/>
          <w:szCs w:val="40"/>
          <w:lang w:val="fr-FR"/>
        </w:rPr>
      </w:pPr>
      <w:r w:rsidRPr="00943B90">
        <w:rPr>
          <w:rFonts w:ascii="DK Lemon Yellow Sun" w:hAnsi="DK Lemon Yellow Sun"/>
          <w:b/>
          <w:bCs/>
          <w:color w:val="E61853"/>
          <w:sz w:val="40"/>
          <w:szCs w:val="40"/>
          <w:lang w:val="fr-FR"/>
        </w:rPr>
        <w:t>ALIMENTATION DURABLE</w:t>
      </w:r>
    </w:p>
    <w:p w14:paraId="031DCB8C" w14:textId="27C6C09A" w:rsidR="001E7752" w:rsidRPr="00943B90" w:rsidRDefault="00A34E25" w:rsidP="00943B90">
      <w:pPr>
        <w:spacing w:after="0" w:line="240" w:lineRule="auto"/>
        <w:jc w:val="center"/>
        <w:rPr>
          <w:rFonts w:ascii="DK Lemon Yellow Sun" w:hAnsi="DK Lemon Yellow Sun"/>
          <w:b/>
          <w:bCs/>
          <w:color w:val="33B09A"/>
          <w:sz w:val="36"/>
          <w:szCs w:val="36"/>
          <w:lang w:val="fr-FR"/>
        </w:rPr>
      </w:pPr>
      <w:r w:rsidRPr="00943B90">
        <w:rPr>
          <w:rFonts w:ascii="DK Lemon Yellow Sun" w:hAnsi="DK Lemon Yellow Sun"/>
          <w:b/>
          <w:bCs/>
          <w:color w:val="33B09A"/>
          <w:sz w:val="36"/>
          <w:szCs w:val="36"/>
          <w:lang w:val="fr-FR"/>
        </w:rPr>
        <w:t>Un outil inédit pour aider les cantines à rédiger des cahiers des charges pour un approvisionnement alimentaire plus durable</w:t>
      </w:r>
    </w:p>
    <w:p w14:paraId="2916610C" w14:textId="77777777" w:rsidR="001E7752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5A95E320" w14:textId="77777777" w:rsidR="001E7752" w:rsidRPr="006C2EFE" w:rsidRDefault="001E7752" w:rsidP="001E7752">
      <w:pPr>
        <w:spacing w:after="0" w:line="240" w:lineRule="auto"/>
        <w:jc w:val="both"/>
        <w:rPr>
          <w:rFonts w:ascii="Roboto" w:hAnsi="Roboto"/>
          <w:b/>
          <w:bCs/>
          <w:lang w:val="fr-FR"/>
        </w:rPr>
      </w:pPr>
      <w:r w:rsidRPr="006C2EFE">
        <w:rPr>
          <w:rFonts w:ascii="Roboto" w:hAnsi="Roboto"/>
          <w:b/>
          <w:bCs/>
          <w:lang w:val="fr-FR"/>
        </w:rPr>
        <w:t xml:space="preserve">En adhérant au Green Deal Cantines Durables, </w:t>
      </w:r>
      <w:r>
        <w:rPr>
          <w:rFonts w:ascii="Roboto" w:hAnsi="Roboto"/>
          <w:b/>
          <w:bCs/>
          <w:lang w:val="fr-FR"/>
        </w:rPr>
        <w:t>220</w:t>
      </w:r>
      <w:r w:rsidRPr="006C2EFE">
        <w:rPr>
          <w:rFonts w:ascii="Roboto" w:hAnsi="Roboto"/>
          <w:b/>
          <w:bCs/>
          <w:lang w:val="fr-FR"/>
        </w:rPr>
        <w:t xml:space="preserve"> cuisines de collectivités se sont engagées à introduire d</w:t>
      </w:r>
      <w:r>
        <w:rPr>
          <w:rFonts w:ascii="Roboto" w:hAnsi="Roboto"/>
          <w:b/>
          <w:bCs/>
          <w:lang w:val="fr-FR"/>
        </w:rPr>
        <w:t>avantage de</w:t>
      </w:r>
      <w:r w:rsidRPr="006C2EFE">
        <w:rPr>
          <w:rFonts w:ascii="Roboto" w:hAnsi="Roboto"/>
          <w:b/>
          <w:bCs/>
          <w:lang w:val="fr-FR"/>
        </w:rPr>
        <w:t xml:space="preserve"> produits locaux au menu de leur cantine. Pas si simple : dans les faits</w:t>
      </w:r>
      <w:r>
        <w:rPr>
          <w:rFonts w:ascii="Roboto" w:hAnsi="Roboto"/>
          <w:b/>
          <w:bCs/>
          <w:lang w:val="fr-FR"/>
        </w:rPr>
        <w:t>,</w:t>
      </w:r>
      <w:r w:rsidRPr="006C2EFE">
        <w:rPr>
          <w:rFonts w:ascii="Roboto" w:hAnsi="Roboto"/>
          <w:b/>
          <w:bCs/>
          <w:lang w:val="fr-FR"/>
        </w:rPr>
        <w:t xml:space="preserve"> de nombreux freins entravent les collaborations entre cantines et producteurs</w:t>
      </w:r>
      <w:r>
        <w:rPr>
          <w:rFonts w:ascii="Roboto" w:hAnsi="Roboto"/>
          <w:b/>
          <w:bCs/>
          <w:lang w:val="fr-FR"/>
        </w:rPr>
        <w:t>, dont la législation sur les marchés publics.</w:t>
      </w:r>
      <w:r w:rsidRPr="006C2EFE">
        <w:rPr>
          <w:rFonts w:ascii="Roboto" w:hAnsi="Roboto"/>
          <w:b/>
          <w:bCs/>
          <w:lang w:val="fr-FR"/>
        </w:rPr>
        <w:t xml:space="preserve"> Pour aider les cantines à rédiger leurs cahiers des charges et y inclure des clauses de durabilité, la Cellule Manger Demain sort un outil inédit : </w:t>
      </w:r>
      <w:hyperlink r:id="rId8" w:history="1">
        <w:r w:rsidRPr="006C2EFE">
          <w:rPr>
            <w:rStyle w:val="Lienhypertexte"/>
            <w:rFonts w:ascii="Roboto" w:hAnsi="Roboto"/>
            <w:b/>
            <w:bCs/>
            <w:lang w:val="fr-FR"/>
          </w:rPr>
          <w:t>Le guide pour un marché public d’alimentation plus durable</w:t>
        </w:r>
      </w:hyperlink>
      <w:r>
        <w:rPr>
          <w:rFonts w:ascii="Roboto" w:hAnsi="Roboto"/>
          <w:b/>
          <w:bCs/>
          <w:lang w:val="fr-FR"/>
        </w:rPr>
        <w:t>.</w:t>
      </w:r>
    </w:p>
    <w:p w14:paraId="43372455" w14:textId="77777777" w:rsidR="001E7752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3579A553" w14:textId="77777777" w:rsidR="001E7752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16C82FD4" w14:textId="77777777" w:rsidR="001E7752" w:rsidRPr="00C200CE" w:rsidRDefault="001E7752" w:rsidP="001E7752">
      <w:pPr>
        <w:spacing w:after="0" w:line="240" w:lineRule="auto"/>
        <w:jc w:val="both"/>
        <w:rPr>
          <w:rFonts w:ascii="Roboto" w:hAnsi="Roboto"/>
          <w:b/>
          <w:bCs/>
          <w:lang w:val="fr-FR"/>
        </w:rPr>
      </w:pPr>
      <w:r w:rsidRPr="00C200CE">
        <w:rPr>
          <w:rFonts w:ascii="Roboto" w:hAnsi="Roboto"/>
          <w:b/>
          <w:bCs/>
          <w:lang w:val="fr-FR"/>
        </w:rPr>
        <w:t xml:space="preserve">Vers un approvisionnement relocalisé des cantines </w:t>
      </w:r>
    </w:p>
    <w:p w14:paraId="18DFA738" w14:textId="77777777" w:rsidR="001E7752" w:rsidRPr="006C2EFE" w:rsidRDefault="001E7752" w:rsidP="001E7752">
      <w:pPr>
        <w:spacing w:after="0" w:line="240" w:lineRule="auto"/>
        <w:jc w:val="both"/>
        <w:rPr>
          <w:rFonts w:ascii="Roboto" w:hAnsi="Roboto"/>
          <w:sz w:val="10"/>
          <w:szCs w:val="10"/>
          <w:lang w:val="fr-FR"/>
        </w:rPr>
      </w:pPr>
    </w:p>
    <w:p w14:paraId="571EC298" w14:textId="37AC3BDE" w:rsidR="001E7752" w:rsidRPr="004C545E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  <w:r w:rsidRPr="004C545E">
        <w:rPr>
          <w:rFonts w:ascii="Roboto" w:hAnsi="Roboto"/>
          <w:lang w:val="fr-FR"/>
        </w:rPr>
        <w:t>Travailler à un approvisionnement plus local et durable dans les cuisines de collectivité</w:t>
      </w:r>
      <w:r>
        <w:rPr>
          <w:rFonts w:ascii="Roboto" w:hAnsi="Roboto"/>
          <w:lang w:val="fr-FR"/>
        </w:rPr>
        <w:t>s</w:t>
      </w:r>
      <w:r w:rsidRPr="004C545E">
        <w:rPr>
          <w:rFonts w:ascii="Roboto" w:hAnsi="Roboto"/>
          <w:lang w:val="fr-FR"/>
        </w:rPr>
        <w:t xml:space="preserve"> représente un enjeu majeur pour une transition de notre système alimentaire. En adhérant au Green Deal Cantines Durables, les 220 cantines signataires,</w:t>
      </w:r>
      <w:r w:rsidRPr="004C545E">
        <w:rPr>
          <w:rFonts w:ascii="Roboto" w:hAnsi="Roboto"/>
        </w:rPr>
        <w:t xml:space="preserve"> </w:t>
      </w:r>
      <w:r w:rsidRPr="004C545E">
        <w:rPr>
          <w:rFonts w:ascii="Roboto" w:hAnsi="Roboto"/>
          <w:lang w:val="fr-FR"/>
        </w:rPr>
        <w:t>représentant une force d’action désormais équivalente à 120.000 repas chauds par jour</w:t>
      </w:r>
      <w:r w:rsidR="00943B90">
        <w:rPr>
          <w:rFonts w:ascii="Roboto" w:hAnsi="Roboto"/>
          <w:lang w:val="fr-FR"/>
        </w:rPr>
        <w:t xml:space="preserve"> (sur un total de 200.000 repas chauds par jour)</w:t>
      </w:r>
      <w:r w:rsidRPr="004C545E">
        <w:rPr>
          <w:rFonts w:ascii="Roboto" w:hAnsi="Roboto"/>
          <w:lang w:val="fr-FR"/>
        </w:rPr>
        <w:t xml:space="preserve">, se sont engagées à introduire davantage de produits locaux et de saison dans leurs assiettes. </w:t>
      </w:r>
    </w:p>
    <w:p w14:paraId="521C2459" w14:textId="77777777" w:rsidR="001E7752" w:rsidRPr="004C545E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1CAB5016" w14:textId="575D8690" w:rsidR="001E7752" w:rsidRPr="004C545E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  <w:r w:rsidRPr="004C545E">
        <w:rPr>
          <w:rFonts w:ascii="Roboto" w:hAnsi="Roboto"/>
          <w:lang w:val="fr-FR"/>
        </w:rPr>
        <w:t>De nombreux facteurs freinent les échanges entre producteurs et cantines : la logistique (quantités, transport, stockage…), la nature des denrées (transformation, etc.), le prix (budget faible pour les cantines</w:t>
      </w:r>
      <w:r w:rsidR="00DA130E">
        <w:rPr>
          <w:rFonts w:ascii="Roboto" w:hAnsi="Roboto"/>
          <w:lang w:val="fr-FR"/>
        </w:rPr>
        <w:t xml:space="preserve">, </w:t>
      </w:r>
      <w:r w:rsidR="00A34E25">
        <w:rPr>
          <w:rFonts w:ascii="Roboto" w:hAnsi="Roboto"/>
          <w:lang w:val="fr-FR"/>
        </w:rPr>
        <w:t xml:space="preserve">avec une moyenne de </w:t>
      </w:r>
      <w:r w:rsidR="00DA130E">
        <w:rPr>
          <w:rFonts w:ascii="Roboto" w:hAnsi="Roboto"/>
          <w:lang w:val="fr-FR"/>
        </w:rPr>
        <w:t>3,5</w:t>
      </w:r>
      <w:r w:rsidR="00A34E25">
        <w:rPr>
          <w:rFonts w:ascii="Roboto" w:hAnsi="Roboto"/>
          <w:lang w:val="fr-FR"/>
        </w:rPr>
        <w:t>€</w:t>
      </w:r>
      <w:r w:rsidR="00DA130E">
        <w:rPr>
          <w:rFonts w:ascii="Roboto" w:hAnsi="Roboto"/>
          <w:lang w:val="fr-FR"/>
        </w:rPr>
        <w:t xml:space="preserve"> pour les cantines scolaires et de 4,5€ pour les publics plus âgés</w:t>
      </w:r>
      <w:r w:rsidRPr="004C545E">
        <w:rPr>
          <w:rFonts w:ascii="Roboto" w:hAnsi="Roboto"/>
          <w:lang w:val="fr-FR"/>
        </w:rPr>
        <w:t xml:space="preserve">, </w:t>
      </w:r>
      <w:r w:rsidR="00A34E25">
        <w:rPr>
          <w:rFonts w:ascii="Roboto" w:hAnsi="Roboto"/>
          <w:lang w:val="fr-FR"/>
        </w:rPr>
        <w:t xml:space="preserve">versus un </w:t>
      </w:r>
      <w:r w:rsidRPr="004C545E">
        <w:rPr>
          <w:rFonts w:ascii="Roboto" w:hAnsi="Roboto"/>
          <w:lang w:val="fr-FR"/>
        </w:rPr>
        <w:t>prix rémunérateur pour le</w:t>
      </w:r>
      <w:r w:rsidRPr="006C2EFE">
        <w:rPr>
          <w:rFonts w:ascii="Roboto" w:hAnsi="Roboto"/>
          <w:lang w:val="fr-FR"/>
        </w:rPr>
        <w:t>s producteurs) mais surtout la règlementation des marchés publics.</w:t>
      </w:r>
    </w:p>
    <w:p w14:paraId="732C2917" w14:textId="77777777" w:rsidR="001E7752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0031540A" w14:textId="77777777" w:rsidR="001E7752" w:rsidRPr="00C200CE" w:rsidRDefault="001E7752" w:rsidP="001E7752">
      <w:pPr>
        <w:spacing w:after="0" w:line="240" w:lineRule="auto"/>
        <w:jc w:val="both"/>
        <w:rPr>
          <w:rFonts w:ascii="Roboto" w:hAnsi="Roboto"/>
          <w:b/>
          <w:bCs/>
          <w:lang w:val="fr-FR"/>
        </w:rPr>
      </w:pPr>
      <w:r w:rsidRPr="00C200CE">
        <w:rPr>
          <w:rFonts w:ascii="Roboto" w:hAnsi="Roboto"/>
          <w:b/>
          <w:bCs/>
          <w:lang w:val="fr-FR"/>
        </w:rPr>
        <w:t>Les marchés publics : La clé de la transition alimentaire dans les cantines</w:t>
      </w:r>
    </w:p>
    <w:p w14:paraId="7F71C0B2" w14:textId="77777777" w:rsidR="001E7752" w:rsidRPr="004C545E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57B261C8" w14:textId="77777777" w:rsidR="00DA130E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  <w:r w:rsidRPr="0033670E">
        <w:rPr>
          <w:rFonts w:ascii="Roboto" w:hAnsi="Roboto"/>
          <w:lang w:val="fr-FR"/>
        </w:rPr>
        <w:t xml:space="preserve">En effet, la législation relative au marchés publics qui découle d’une directive européenne (2014/24) ne permet pas de favoriser une zone géographique par rapport à une autre, simple application du principe de non-discrimination.  </w:t>
      </w:r>
      <w:r w:rsidRPr="004C545E">
        <w:rPr>
          <w:rFonts w:ascii="Roboto" w:hAnsi="Roboto"/>
          <w:lang w:val="fr-FR"/>
        </w:rPr>
        <w:t>C’est pourquoi, pour faciliter la transition des cantines vers une offre alimentaire durable, la Cellule Manger Demain a développé un guide pour aiguiller les cantines dans la rédaction de leurs cahiers des charges</w:t>
      </w:r>
      <w:r>
        <w:rPr>
          <w:rFonts w:ascii="Roboto" w:hAnsi="Roboto"/>
          <w:lang w:val="fr-FR"/>
        </w:rPr>
        <w:t xml:space="preserve">, le tout en </w:t>
      </w:r>
      <w:r w:rsidRPr="00FC0D85">
        <w:rPr>
          <w:rFonts w:ascii="Roboto" w:hAnsi="Roboto"/>
          <w:lang w:val="fr-FR"/>
        </w:rPr>
        <w:t>phase avec la réalité des filières agricoles wallonnes</w:t>
      </w:r>
      <w:r>
        <w:rPr>
          <w:rFonts w:ascii="Roboto" w:hAnsi="Roboto"/>
          <w:lang w:val="fr-FR"/>
        </w:rPr>
        <w:t>.</w:t>
      </w:r>
    </w:p>
    <w:p w14:paraId="4176C1F2" w14:textId="77777777" w:rsidR="00DA130E" w:rsidRDefault="00DA130E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0ED7B046" w14:textId="3CF0F443" w:rsidR="00A34E25" w:rsidRPr="004C545E" w:rsidRDefault="00DA130E" w:rsidP="001E7752">
      <w:pPr>
        <w:spacing w:after="0" w:line="240" w:lineRule="auto"/>
        <w:jc w:val="both"/>
        <w:rPr>
          <w:rFonts w:ascii="Roboto" w:hAnsi="Roboto"/>
          <w:lang w:val="fr-FR"/>
        </w:rPr>
      </w:pPr>
      <w:r>
        <w:rPr>
          <w:rFonts w:ascii="Roboto" w:hAnsi="Roboto"/>
          <w:lang w:val="fr-FR"/>
        </w:rPr>
        <w:t xml:space="preserve">Inscrit dans la cadre de la </w:t>
      </w:r>
      <w:hyperlink r:id="rId9" w:history="1">
        <w:r w:rsidRPr="00DA130E">
          <w:rPr>
            <w:rStyle w:val="Lienhypertexte"/>
            <w:rFonts w:ascii="Roboto" w:hAnsi="Roboto"/>
            <w:lang w:val="fr-FR"/>
          </w:rPr>
          <w:t>Stratégie wallonne Manger Demain</w:t>
        </w:r>
      </w:hyperlink>
      <w:r>
        <w:rPr>
          <w:rFonts w:ascii="Roboto" w:hAnsi="Roboto"/>
          <w:lang w:val="fr-FR"/>
        </w:rPr>
        <w:t xml:space="preserve"> et des travaux menés par la </w:t>
      </w:r>
      <w:hyperlink r:id="rId10" w:history="1">
        <w:r w:rsidRPr="00DA130E">
          <w:rPr>
            <w:rStyle w:val="Lienhypertexte"/>
            <w:rFonts w:ascii="Roboto" w:hAnsi="Roboto"/>
            <w:lang w:val="fr-FR"/>
          </w:rPr>
          <w:t>Cellule Manger Demain</w:t>
        </w:r>
      </w:hyperlink>
      <w:r>
        <w:rPr>
          <w:rFonts w:ascii="Roboto" w:hAnsi="Roboto"/>
          <w:lang w:val="fr-FR"/>
        </w:rPr>
        <w:t xml:space="preserve">, </w:t>
      </w:r>
      <w:r w:rsidR="00A34E25">
        <w:rPr>
          <w:rFonts w:ascii="Roboto" w:hAnsi="Roboto"/>
          <w:lang w:val="fr-FR"/>
        </w:rPr>
        <w:t>ce document permet aux acteurs des collectivités wallonnes d’ouvrir les collaborations avec des producteurs locaux</w:t>
      </w:r>
      <w:r>
        <w:rPr>
          <w:rFonts w:ascii="Roboto" w:hAnsi="Roboto"/>
          <w:lang w:val="fr-FR"/>
        </w:rPr>
        <w:t xml:space="preserve"> pour une relocalisation de l’alimentation.</w:t>
      </w:r>
    </w:p>
    <w:p w14:paraId="03922ACD" w14:textId="2ED914E8" w:rsidR="001E7752" w:rsidRPr="004C545E" w:rsidRDefault="00DA130E" w:rsidP="001E7752">
      <w:pPr>
        <w:spacing w:after="0" w:line="240" w:lineRule="auto"/>
        <w:jc w:val="both"/>
        <w:rPr>
          <w:rFonts w:ascii="Roboto" w:hAnsi="Roboto"/>
          <w:lang w:val="fr-FR"/>
        </w:rPr>
      </w:pPr>
      <w:r w:rsidRPr="004C545E">
        <w:rPr>
          <w:rFonts w:ascii="Roboto" w:hAnsi="Roboto"/>
          <w:noProof/>
        </w:rPr>
        <w:drawing>
          <wp:anchor distT="0" distB="0" distL="114300" distR="114300" simplePos="0" relativeHeight="251659264" behindDoc="1" locked="0" layoutInCell="1" allowOverlap="1" wp14:anchorId="430D97CC" wp14:editId="3479DB0D">
            <wp:simplePos x="0" y="0"/>
            <wp:positionH relativeFrom="column">
              <wp:posOffset>243205</wp:posOffset>
            </wp:positionH>
            <wp:positionV relativeFrom="paragraph">
              <wp:posOffset>13970</wp:posOffset>
            </wp:positionV>
            <wp:extent cx="5045071" cy="2524760"/>
            <wp:effectExtent l="0" t="0" r="381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1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0A4E2" w14:textId="25E3CA6A" w:rsidR="001E7752" w:rsidRPr="004C545E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77424498" w14:textId="77777777" w:rsidR="001E7752" w:rsidRPr="004C545E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444E7AE6" w14:textId="77777777" w:rsidR="001E7752" w:rsidRPr="004C545E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11CD90D1" w14:textId="77777777" w:rsidR="001E7752" w:rsidRPr="004C545E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16394B70" w14:textId="77777777" w:rsidR="001E7752" w:rsidRPr="004C545E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2F0FD34B" w14:textId="77777777" w:rsidR="001E7752" w:rsidRPr="004C545E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0D29A24A" w14:textId="77777777" w:rsidR="001E7752" w:rsidRPr="004C545E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1143B3A6" w14:textId="77777777" w:rsidR="001E7752" w:rsidRPr="004C545E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4741E3DD" w14:textId="77777777" w:rsidR="00DA130E" w:rsidRDefault="00DA130E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56AC23F2" w14:textId="6FEBE1CA" w:rsidR="001E7752" w:rsidRPr="00C200CE" w:rsidRDefault="001E7752" w:rsidP="001E7752">
      <w:pPr>
        <w:spacing w:after="0" w:line="240" w:lineRule="auto"/>
        <w:jc w:val="both"/>
        <w:rPr>
          <w:rFonts w:ascii="Roboto" w:hAnsi="Roboto"/>
          <w:b/>
          <w:bCs/>
          <w:lang w:val="fr-FR"/>
        </w:rPr>
      </w:pPr>
      <w:r w:rsidRPr="00C200CE">
        <w:rPr>
          <w:rFonts w:ascii="Roboto" w:hAnsi="Roboto"/>
          <w:b/>
          <w:bCs/>
          <w:lang w:val="fr-FR"/>
        </w:rPr>
        <w:t>Un outil inédit pour faciliter l’introduction de clauses de durabilité</w:t>
      </w:r>
    </w:p>
    <w:p w14:paraId="24EBE6BD" w14:textId="77777777" w:rsidR="001E7752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08FFA2C0" w14:textId="77777777" w:rsidR="001E7752" w:rsidRPr="004C545E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  <w:r w:rsidRPr="004C545E">
        <w:rPr>
          <w:rFonts w:ascii="Roboto" w:hAnsi="Roboto"/>
          <w:lang w:val="fr-FR"/>
        </w:rPr>
        <w:t xml:space="preserve">Divisé en deux parties le </w:t>
      </w:r>
      <w:r>
        <w:rPr>
          <w:rFonts w:ascii="Roboto" w:hAnsi="Roboto"/>
          <w:lang w:val="fr-FR"/>
        </w:rPr>
        <w:t xml:space="preserve">« Guide pour un marché public d’alimentation plus durable » </w:t>
      </w:r>
      <w:r w:rsidRPr="004C545E">
        <w:rPr>
          <w:rFonts w:ascii="Roboto" w:hAnsi="Roboto"/>
          <w:lang w:val="fr-FR"/>
        </w:rPr>
        <w:t xml:space="preserve">permet aux cantines : </w:t>
      </w:r>
    </w:p>
    <w:p w14:paraId="52135B2B" w14:textId="77777777" w:rsidR="001E7752" w:rsidRPr="004C545E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6EE08FD2" w14:textId="5606FD02" w:rsidR="001E7752" w:rsidRPr="00152454" w:rsidRDefault="001E7752" w:rsidP="006D45C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Roboto" w:hAnsi="Roboto"/>
          <w:lang w:val="fr-FR"/>
        </w:rPr>
      </w:pPr>
      <w:r w:rsidRPr="00152454">
        <w:rPr>
          <w:rFonts w:ascii="Roboto" w:hAnsi="Roboto"/>
          <w:lang w:val="fr-FR"/>
        </w:rPr>
        <w:t>D’obtenir des informations théoriques sur les principes juridiques régulant les marchés publics (en lien avec le contexte des cuisines de collectivités)</w:t>
      </w:r>
      <w:r w:rsidR="00A34E25" w:rsidRPr="00152454">
        <w:rPr>
          <w:rFonts w:ascii="Roboto" w:hAnsi="Roboto"/>
          <w:lang w:val="fr-FR"/>
        </w:rPr>
        <w:t xml:space="preserve">, comme </w:t>
      </w:r>
      <w:r w:rsidR="00152454">
        <w:rPr>
          <w:rFonts w:ascii="Roboto" w:hAnsi="Roboto"/>
          <w:lang w:val="fr-FR"/>
        </w:rPr>
        <w:t>l’importance de l’objet du marché ou le lien obligatoire entre ce dernier et les critères d’attribution, spécifications techniques, critères de sélection et conditions d’exécution</w:t>
      </w:r>
      <w:r w:rsidR="006878E8">
        <w:rPr>
          <w:rFonts w:ascii="Roboto" w:hAnsi="Roboto"/>
          <w:lang w:val="fr-FR"/>
        </w:rPr>
        <w:t>.</w:t>
      </w:r>
    </w:p>
    <w:p w14:paraId="37FA613A" w14:textId="236B7593" w:rsidR="001E7752" w:rsidRPr="008F0C0B" w:rsidRDefault="001E7752" w:rsidP="001E775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Roboto" w:hAnsi="Roboto"/>
          <w:lang w:val="fr-FR"/>
        </w:rPr>
      </w:pPr>
      <w:r w:rsidRPr="004C545E">
        <w:rPr>
          <w:rFonts w:ascii="Roboto" w:hAnsi="Roboto"/>
          <w:lang w:val="fr-FR"/>
        </w:rPr>
        <w:t>De mieux connaitre les réalités des filières agricoles et leurs caractéristiques respectives. Pour chaque filière, les cantines trouveron</w:t>
      </w:r>
      <w:r>
        <w:rPr>
          <w:rFonts w:ascii="Roboto" w:hAnsi="Roboto"/>
          <w:lang w:val="fr-FR"/>
        </w:rPr>
        <w:t>t</w:t>
      </w:r>
      <w:r w:rsidRPr="004C545E">
        <w:rPr>
          <w:rFonts w:ascii="Roboto" w:hAnsi="Roboto"/>
          <w:lang w:val="fr-FR"/>
        </w:rPr>
        <w:t xml:space="preserve"> une liste non-exhaustive d’exemples de lots, de critères d’attribution et de spécifications techniques.</w:t>
      </w:r>
      <w:r w:rsidR="00A34E25">
        <w:rPr>
          <w:rFonts w:ascii="Roboto" w:hAnsi="Roboto"/>
          <w:lang w:val="fr-FR"/>
        </w:rPr>
        <w:t xml:space="preserve"> Par exemple,</w:t>
      </w:r>
      <w:r w:rsidR="00152454">
        <w:rPr>
          <w:rFonts w:ascii="Roboto" w:hAnsi="Roboto"/>
          <w:lang w:val="fr-FR"/>
        </w:rPr>
        <w:t xml:space="preserve"> des spécifications techniques liées à l’alimentation des animaux, des critères d’attribution liés au mode de production, au bien-être animal, mais aussi à la réduction du gaspillage alimentaire, etc. </w:t>
      </w:r>
    </w:p>
    <w:p w14:paraId="1B70C451" w14:textId="77777777" w:rsidR="001E7752" w:rsidRPr="004C545E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50280D86" w14:textId="77777777" w:rsidR="00A34E25" w:rsidRDefault="00A34E25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2B9BAD11" w14:textId="77777777" w:rsidR="00A34E25" w:rsidRPr="00C200CE" w:rsidRDefault="00A34E25" w:rsidP="001E7752">
      <w:pPr>
        <w:spacing w:after="0" w:line="240" w:lineRule="auto"/>
        <w:jc w:val="both"/>
        <w:rPr>
          <w:rFonts w:ascii="Roboto" w:hAnsi="Roboto"/>
          <w:b/>
          <w:bCs/>
          <w:lang w:val="fr-FR"/>
        </w:rPr>
      </w:pPr>
      <w:r w:rsidRPr="00C200CE">
        <w:rPr>
          <w:rFonts w:ascii="Roboto" w:hAnsi="Roboto"/>
          <w:b/>
          <w:bCs/>
          <w:lang w:val="fr-FR"/>
        </w:rPr>
        <w:t xml:space="preserve">En pratique : comment utiliser ce guide ? </w:t>
      </w:r>
    </w:p>
    <w:p w14:paraId="0E4B216C" w14:textId="77777777" w:rsidR="00A34E25" w:rsidRDefault="00A34E25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58B74EB3" w14:textId="366C4203" w:rsidR="00AF2C6C" w:rsidRDefault="00A34E25" w:rsidP="00AF2C6C">
      <w:pPr>
        <w:spacing w:after="0" w:line="240" w:lineRule="auto"/>
        <w:jc w:val="both"/>
        <w:rPr>
          <w:rFonts w:ascii="Roboto" w:hAnsi="Roboto"/>
          <w:lang w:val="fr-FR"/>
        </w:rPr>
      </w:pPr>
      <w:r>
        <w:rPr>
          <w:rFonts w:ascii="Roboto" w:hAnsi="Roboto"/>
          <w:lang w:val="fr-FR"/>
        </w:rPr>
        <w:t>Le guide pour des marchés publics plus durable est disponible au téléchargement pour</w:t>
      </w:r>
      <w:r w:rsidR="006878E8">
        <w:rPr>
          <w:rFonts w:ascii="Roboto" w:hAnsi="Roboto"/>
          <w:lang w:val="fr-FR"/>
        </w:rPr>
        <w:t xml:space="preserve"> </w:t>
      </w:r>
      <w:r w:rsidR="00152454">
        <w:rPr>
          <w:rFonts w:ascii="Roboto" w:hAnsi="Roboto"/>
          <w:lang w:val="fr-FR"/>
        </w:rPr>
        <w:t>tout pouvoir adjudicateur</w:t>
      </w:r>
      <w:r>
        <w:rPr>
          <w:rFonts w:ascii="Roboto" w:hAnsi="Roboto"/>
          <w:lang w:val="fr-FR"/>
        </w:rPr>
        <w:t>, qu’</w:t>
      </w:r>
      <w:r w:rsidR="00EE2140">
        <w:rPr>
          <w:rFonts w:ascii="Roboto" w:hAnsi="Roboto"/>
          <w:lang w:val="fr-FR"/>
        </w:rPr>
        <w:t>il</w:t>
      </w:r>
      <w:r>
        <w:rPr>
          <w:rFonts w:ascii="Roboto" w:hAnsi="Roboto"/>
          <w:lang w:val="fr-FR"/>
        </w:rPr>
        <w:t xml:space="preserve"> adhère ou non </w:t>
      </w:r>
      <w:r w:rsidR="00AF2C6C">
        <w:rPr>
          <w:rFonts w:ascii="Roboto" w:hAnsi="Roboto"/>
          <w:lang w:val="fr-FR"/>
        </w:rPr>
        <w:t>à la charte</w:t>
      </w:r>
      <w:r>
        <w:rPr>
          <w:rFonts w:ascii="Roboto" w:hAnsi="Roboto"/>
          <w:lang w:val="fr-FR"/>
        </w:rPr>
        <w:t xml:space="preserve"> Green Deal Cantines Durables. </w:t>
      </w:r>
      <w:r w:rsidR="00AF2C6C">
        <w:rPr>
          <w:rFonts w:ascii="Roboto" w:hAnsi="Roboto"/>
          <w:lang w:val="fr-FR"/>
        </w:rPr>
        <w:t>Pour les cantines</w:t>
      </w:r>
      <w:r w:rsidR="00152454">
        <w:rPr>
          <w:rFonts w:ascii="Roboto" w:hAnsi="Roboto"/>
          <w:lang w:val="fr-FR"/>
        </w:rPr>
        <w:t xml:space="preserve"> et autorités politiques</w:t>
      </w:r>
      <w:r w:rsidR="00AF2C6C">
        <w:rPr>
          <w:rFonts w:ascii="Roboto" w:hAnsi="Roboto"/>
          <w:lang w:val="fr-FR"/>
        </w:rPr>
        <w:t xml:space="preserve"> signataires, un accompagnement individuel avec la juriste de la Cellule Manger Demain est également proposé. </w:t>
      </w:r>
    </w:p>
    <w:p w14:paraId="734DE135" w14:textId="0B53074A" w:rsidR="00A34E25" w:rsidRDefault="00A34E25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0DC59835" w14:textId="6E939280" w:rsidR="00A34E25" w:rsidRDefault="00A34E25" w:rsidP="001E7752">
      <w:pPr>
        <w:spacing w:after="0" w:line="240" w:lineRule="auto"/>
        <w:jc w:val="both"/>
        <w:rPr>
          <w:rFonts w:ascii="Roboto" w:hAnsi="Roboto"/>
          <w:lang w:val="fr-FR"/>
        </w:rPr>
      </w:pPr>
      <w:r w:rsidRPr="00A34E25">
        <w:rPr>
          <w:rFonts w:ascii="Roboto" w:hAnsi="Roboto"/>
          <w:lang w:val="fr-FR"/>
        </w:rPr>
        <w:sym w:font="Wingdings" w:char="F0E0"/>
      </w:r>
      <w:r>
        <w:rPr>
          <w:rFonts w:ascii="Roboto" w:hAnsi="Roboto"/>
          <w:lang w:val="fr-FR"/>
        </w:rPr>
        <w:t xml:space="preserve"> </w:t>
      </w:r>
      <w:hyperlink r:id="rId12" w:history="1">
        <w:r w:rsidR="00DA130E" w:rsidRPr="00F16969">
          <w:rPr>
            <w:rStyle w:val="Lienhypertexte"/>
            <w:rFonts w:ascii="Roboto" w:hAnsi="Roboto"/>
            <w:lang w:val="fr-FR"/>
          </w:rPr>
          <w:t>https://www.mangerdemain.be/2020/11/04/guide-pour-un-marche-public-alimentaire-plus-durable/</w:t>
        </w:r>
      </w:hyperlink>
      <w:r w:rsidR="00DA130E">
        <w:rPr>
          <w:rFonts w:ascii="Roboto" w:hAnsi="Roboto"/>
          <w:lang w:val="fr-FR"/>
        </w:rPr>
        <w:t xml:space="preserve"> </w:t>
      </w:r>
    </w:p>
    <w:p w14:paraId="5AC7D398" w14:textId="77777777" w:rsidR="00A34E25" w:rsidRDefault="00A34E25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61B928E3" w14:textId="215A7A88" w:rsidR="001E7752" w:rsidRDefault="00AF2C6C" w:rsidP="001E7752">
      <w:pPr>
        <w:spacing w:after="0" w:line="240" w:lineRule="auto"/>
        <w:jc w:val="both"/>
        <w:rPr>
          <w:rFonts w:ascii="Roboto" w:hAnsi="Roboto"/>
          <w:lang w:val="fr-FR"/>
        </w:rPr>
      </w:pPr>
      <w:r>
        <w:rPr>
          <w:rFonts w:ascii="Roboto" w:hAnsi="Roboto"/>
          <w:lang w:val="fr-FR"/>
        </w:rPr>
        <w:t xml:space="preserve">Ce guide est une première étape dans la mise en réseau des cuisines de collectivité et des acteurs de l’approvisionnement : </w:t>
      </w:r>
      <w:r w:rsidRPr="00AF2C6C">
        <w:rPr>
          <w:rFonts w:ascii="Roboto" w:hAnsi="Roboto"/>
          <w:lang w:val="fr-FR"/>
        </w:rPr>
        <w:t>d’autres outils sont en cours d’élaboration pour parvenir à faire matcher l’offre et la demande</w:t>
      </w:r>
      <w:r>
        <w:rPr>
          <w:rFonts w:ascii="Roboto" w:hAnsi="Roboto"/>
          <w:lang w:val="fr-FR"/>
        </w:rPr>
        <w:t xml:space="preserve"> en produits locaux ! </w:t>
      </w:r>
    </w:p>
    <w:p w14:paraId="271B7173" w14:textId="62DC0B89" w:rsidR="00AF2C6C" w:rsidRDefault="00AF2C6C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2EB380E7" w14:textId="223A4BAF" w:rsidR="00AF2C6C" w:rsidRPr="004C545E" w:rsidRDefault="00AF2C6C" w:rsidP="001E7752">
      <w:pPr>
        <w:spacing w:after="0" w:line="240" w:lineRule="auto"/>
        <w:jc w:val="both"/>
        <w:rPr>
          <w:rFonts w:ascii="Roboto" w:hAnsi="Roboto"/>
          <w:lang w:val="fr-FR"/>
        </w:rPr>
      </w:pPr>
      <w:r w:rsidRPr="00AF2C6C">
        <w:rPr>
          <w:rFonts w:ascii="Roboto" w:hAnsi="Roboto"/>
          <w:lang w:val="fr-FR"/>
        </w:rPr>
        <w:sym w:font="Wingdings" w:char="F0E0"/>
      </w:r>
      <w:r>
        <w:rPr>
          <w:rFonts w:ascii="Roboto" w:hAnsi="Roboto"/>
          <w:lang w:val="fr-FR"/>
        </w:rPr>
        <w:t xml:space="preserve"> </w:t>
      </w:r>
      <w:hyperlink r:id="rId13" w:history="1">
        <w:r w:rsidRPr="00F16969">
          <w:rPr>
            <w:rStyle w:val="Lienhypertexte"/>
            <w:rFonts w:ascii="Roboto" w:hAnsi="Roboto"/>
            <w:lang w:val="fr-FR"/>
          </w:rPr>
          <w:t>https://www.mangerdemain.be/offres-demandes/</w:t>
        </w:r>
      </w:hyperlink>
      <w:r>
        <w:rPr>
          <w:rFonts w:ascii="Roboto" w:hAnsi="Roboto"/>
          <w:lang w:val="fr-FR"/>
        </w:rPr>
        <w:t xml:space="preserve"> </w:t>
      </w:r>
    </w:p>
    <w:p w14:paraId="176279B7" w14:textId="77777777" w:rsidR="001E7752" w:rsidRPr="004C545E" w:rsidRDefault="001E7752" w:rsidP="001E7752">
      <w:pPr>
        <w:spacing w:after="0" w:line="240" w:lineRule="auto"/>
        <w:jc w:val="both"/>
        <w:rPr>
          <w:rFonts w:ascii="Roboto" w:hAnsi="Roboto"/>
          <w:lang w:val="fr-FR"/>
        </w:rPr>
      </w:pPr>
    </w:p>
    <w:p w14:paraId="0CBC1353" w14:textId="263E1066" w:rsidR="00AF2C6C" w:rsidRDefault="00AF2C6C"/>
    <w:p w14:paraId="49BD6183" w14:textId="5CBF4E0A" w:rsidR="00914F92" w:rsidRDefault="00AF2C6C" w:rsidP="00C200CE">
      <w:pPr>
        <w:rPr>
          <w:rFonts w:ascii="Roboto" w:hAnsi="Roboto"/>
          <w:lang w:val="fr-FR"/>
        </w:rPr>
      </w:pPr>
      <w:r w:rsidRPr="00C200CE">
        <w:rPr>
          <w:rFonts w:ascii="Roboto" w:hAnsi="Roboto"/>
          <w:b/>
          <w:lang w:val="fr-FR"/>
        </w:rPr>
        <w:t>Contact</w:t>
      </w:r>
      <w:r w:rsidR="00C200CE" w:rsidRPr="00C200CE">
        <w:rPr>
          <w:rFonts w:ascii="Roboto" w:hAnsi="Roboto"/>
          <w:b/>
          <w:lang w:val="fr-FR"/>
        </w:rPr>
        <w:t> </w:t>
      </w:r>
    </w:p>
    <w:p w14:paraId="3607EA34" w14:textId="3221AE5A" w:rsidR="00AF2C6C" w:rsidRDefault="00C200CE" w:rsidP="00C200CE">
      <w:pPr>
        <w:rPr>
          <w:rFonts w:ascii="Roboto" w:hAnsi="Roboto"/>
          <w:lang w:val="fr-FR"/>
        </w:rPr>
      </w:pPr>
      <w:r w:rsidRPr="00C200CE">
        <w:rPr>
          <w:rFonts w:ascii="Roboto" w:hAnsi="Roboto"/>
          <w:lang w:val="fr-FR"/>
        </w:rPr>
        <w:t xml:space="preserve">Lyse Bauduin, Chargée de communication Manger Demain </w:t>
      </w:r>
      <w:proofErr w:type="gramStart"/>
      <w:r w:rsidRPr="00C200CE">
        <w:rPr>
          <w:rFonts w:ascii="Roboto" w:hAnsi="Roboto"/>
          <w:lang w:val="fr-FR"/>
        </w:rPr>
        <w:t>-  lyse.bauduin@mangerdemain.be</w:t>
      </w:r>
      <w:proofErr w:type="gramEnd"/>
      <w:r w:rsidRPr="00C200CE">
        <w:rPr>
          <w:rFonts w:ascii="Roboto" w:hAnsi="Roboto"/>
          <w:lang w:val="fr-FR"/>
        </w:rPr>
        <w:t xml:space="preserve"> - +32(0)493 274 493</w:t>
      </w:r>
    </w:p>
    <w:p w14:paraId="512A7408" w14:textId="64B23FBB" w:rsidR="00914F92" w:rsidRDefault="00914F92" w:rsidP="00C200CE">
      <w:pPr>
        <w:rPr>
          <w:rFonts w:ascii="Roboto" w:hAnsi="Roboto"/>
          <w:lang w:val="fr-FR"/>
        </w:rPr>
      </w:pPr>
    </w:p>
    <w:p w14:paraId="2FB5A369" w14:textId="664AC9AF" w:rsidR="00914F92" w:rsidRDefault="00914F92" w:rsidP="00C200CE">
      <w:pPr>
        <w:rPr>
          <w:rFonts w:ascii="Roboto" w:hAnsi="Roboto"/>
          <w:lang w:val="fr-FR"/>
        </w:rPr>
      </w:pPr>
      <w:bookmarkStart w:id="0" w:name="_GoBack"/>
      <w:bookmarkEnd w:id="0"/>
    </w:p>
    <w:p w14:paraId="5E2836E8" w14:textId="47CF578B" w:rsidR="00914F92" w:rsidRDefault="00914F92" w:rsidP="00C200CE">
      <w:pPr>
        <w:rPr>
          <w:rFonts w:ascii="Roboto" w:hAnsi="Roboto"/>
          <w:lang w:val="fr-FR"/>
        </w:rPr>
      </w:pPr>
    </w:p>
    <w:p w14:paraId="785E5399" w14:textId="77777777" w:rsidR="00914F92" w:rsidRPr="00C200CE" w:rsidRDefault="00914F92" w:rsidP="00C200CE">
      <w:pPr>
        <w:rPr>
          <w:rFonts w:ascii="Roboto" w:hAnsi="Roboto"/>
          <w:lang w:val="fr-FR"/>
        </w:rPr>
      </w:pPr>
    </w:p>
    <w:sectPr w:rsidR="00914F92" w:rsidRPr="00C200C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3FB9" w16cex:dateUtc="2021-02-10T10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9FE0D" w14:textId="77777777" w:rsidR="00651125" w:rsidRDefault="00651125" w:rsidP="00914F92">
      <w:pPr>
        <w:spacing w:after="0" w:line="240" w:lineRule="auto"/>
      </w:pPr>
      <w:r>
        <w:separator/>
      </w:r>
    </w:p>
  </w:endnote>
  <w:endnote w:type="continuationSeparator" w:id="0">
    <w:p w14:paraId="0EB56E61" w14:textId="77777777" w:rsidR="00651125" w:rsidRDefault="00651125" w:rsidP="0091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K Lemon Yellow Sun">
    <w:altName w:val="Calibri"/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F7809" w14:textId="47292705" w:rsidR="00914F92" w:rsidRDefault="00914F92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06737C" wp14:editId="38BB7079">
          <wp:simplePos x="0" y="0"/>
          <wp:positionH relativeFrom="column">
            <wp:posOffset>4277995</wp:posOffset>
          </wp:positionH>
          <wp:positionV relativeFrom="paragraph">
            <wp:posOffset>3810</wp:posOffset>
          </wp:positionV>
          <wp:extent cx="1866592" cy="366396"/>
          <wp:effectExtent l="0" t="0" r="63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OCOPRO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592" cy="366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Socopro asbl – Avenue Comte de Smet de </w:t>
    </w:r>
    <w:proofErr w:type="spellStart"/>
    <w:r>
      <w:t>Nayer</w:t>
    </w:r>
    <w:proofErr w:type="spellEnd"/>
    <w:r>
      <w:t xml:space="preserve"> 14/3 – 5000 NAMUR </w:t>
    </w:r>
  </w:p>
  <w:p w14:paraId="7A6D8BAF" w14:textId="5E16CD54" w:rsidR="00914F92" w:rsidRDefault="00914F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CC65C" w14:textId="77777777" w:rsidR="00651125" w:rsidRDefault="00651125" w:rsidP="00914F92">
      <w:pPr>
        <w:spacing w:after="0" w:line="240" w:lineRule="auto"/>
      </w:pPr>
      <w:r>
        <w:separator/>
      </w:r>
    </w:p>
  </w:footnote>
  <w:footnote w:type="continuationSeparator" w:id="0">
    <w:p w14:paraId="403DC552" w14:textId="77777777" w:rsidR="00651125" w:rsidRDefault="00651125" w:rsidP="00914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0A5A"/>
    <w:multiLevelType w:val="hybridMultilevel"/>
    <w:tmpl w:val="6D3C25A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52"/>
    <w:rsid w:val="000513E6"/>
    <w:rsid w:val="00152454"/>
    <w:rsid w:val="00195E2F"/>
    <w:rsid w:val="001E7752"/>
    <w:rsid w:val="00466FCF"/>
    <w:rsid w:val="00651125"/>
    <w:rsid w:val="006878E8"/>
    <w:rsid w:val="006D45C0"/>
    <w:rsid w:val="008E567D"/>
    <w:rsid w:val="00914F92"/>
    <w:rsid w:val="00943B90"/>
    <w:rsid w:val="00A34E25"/>
    <w:rsid w:val="00AF2C6C"/>
    <w:rsid w:val="00C200CE"/>
    <w:rsid w:val="00DA130E"/>
    <w:rsid w:val="00E04BB5"/>
    <w:rsid w:val="00E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20985"/>
  <w15:chartTrackingRefBased/>
  <w15:docId w15:val="{E40E8DC6-5C73-49DE-8381-DE666F8C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7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775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E775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34E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4E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4E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4E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4E2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4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E25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34E2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1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4F92"/>
  </w:style>
  <w:style w:type="paragraph" w:styleId="Pieddepage">
    <w:name w:val="footer"/>
    <w:basedOn w:val="Normal"/>
    <w:link w:val="PieddepageCar"/>
    <w:uiPriority w:val="99"/>
    <w:unhideWhenUsed/>
    <w:rsid w:val="0091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gerdemain.be/2020/11/04/guide-pour-un-marche-public-alimentaire-plus-durable/" TargetMode="External"/><Relationship Id="rId13" Type="http://schemas.openxmlformats.org/officeDocument/2006/relationships/hyperlink" Target="https://www.mangerdemain.be/offres-demand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ngerdemain.be/2020/11/04/guide-pour-un-marche-public-alimentaire-plus-durable/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ngerdemain.be/equi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gerdemain.be/strategie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C59E1-20C6-43F4-BB54-43A9ABD2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 Bauduin</dc:creator>
  <cp:keywords/>
  <dc:description/>
  <cp:lastModifiedBy>Marie Poncin</cp:lastModifiedBy>
  <cp:revision>2</cp:revision>
  <dcterms:created xsi:type="dcterms:W3CDTF">2021-02-23T14:00:00Z</dcterms:created>
  <dcterms:modified xsi:type="dcterms:W3CDTF">2021-02-23T14:00:00Z</dcterms:modified>
</cp:coreProperties>
</file>